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CDB64" w14:textId="77777777" w:rsidR="00781112" w:rsidRPr="006B66F4" w:rsidRDefault="00781112" w:rsidP="00835155">
      <w:pPr>
        <w:rPr>
          <w:sz w:val="32"/>
          <w:szCs w:val="32"/>
        </w:rPr>
        <w:sectPr w:rsidR="00781112" w:rsidRPr="006B66F4" w:rsidSect="00247E8C">
          <w:headerReference w:type="default" r:id="rId11"/>
          <w:footerReference w:type="default" r:id="rId12"/>
          <w:headerReference w:type="first" r:id="rId13"/>
          <w:type w:val="continuous"/>
          <w:pgSz w:w="12240" w:h="15840"/>
          <w:pgMar w:top="1850" w:right="1440" w:bottom="907" w:left="1267" w:header="1008" w:footer="720" w:gutter="0"/>
          <w:cols w:space="720"/>
          <w:titlePg/>
          <w:docGrid w:linePitch="360"/>
        </w:sectPr>
      </w:pPr>
    </w:p>
    <w:p w14:paraId="1BECAE22" w14:textId="11B912EB" w:rsidR="00573783" w:rsidRPr="0053325B" w:rsidRDefault="00C9259C" w:rsidP="00EC062B">
      <w:pPr>
        <w:jc w:val="center"/>
        <w:rPr>
          <w:b/>
          <w:iCs/>
          <w:color w:val="C45911" w:themeColor="accent2" w:themeShade="BF"/>
          <w:sz w:val="24"/>
          <w:szCs w:val="22"/>
        </w:rPr>
      </w:pPr>
      <w:bookmarkStart w:id="0" w:name="_Hlk158214673"/>
      <w:r w:rsidRPr="0053325B">
        <w:rPr>
          <w:b/>
          <w:iCs/>
          <w:color w:val="C45911" w:themeColor="accent2" w:themeShade="BF"/>
          <w:sz w:val="24"/>
          <w:szCs w:val="22"/>
        </w:rPr>
        <w:t>Example – Liver-Kidney Lecture Series</w:t>
      </w:r>
    </w:p>
    <w:bookmarkEnd w:id="0"/>
    <w:p w14:paraId="48689F77" w14:textId="2A511F1B" w:rsidR="00247E8C" w:rsidRPr="0053325B" w:rsidRDefault="00B85FAA" w:rsidP="00247E8C">
      <w:pPr>
        <w:jc w:val="center"/>
        <w:rPr>
          <w:bCs/>
          <w:iCs/>
          <w:color w:val="C45911" w:themeColor="accent2" w:themeShade="BF"/>
          <w:sz w:val="24"/>
          <w:szCs w:val="22"/>
        </w:rPr>
      </w:pPr>
      <w:r w:rsidRPr="0053325B">
        <w:rPr>
          <w:bCs/>
          <w:iCs/>
          <w:color w:val="C45911" w:themeColor="accent2" w:themeShade="BF"/>
          <w:sz w:val="24"/>
          <w:szCs w:val="22"/>
        </w:rPr>
        <w:t>Topic</w:t>
      </w:r>
    </w:p>
    <w:p w14:paraId="027A9734" w14:textId="77777777" w:rsidR="00B85FAA" w:rsidRPr="006B66F4" w:rsidRDefault="00B85FAA" w:rsidP="00247E8C">
      <w:pPr>
        <w:jc w:val="center"/>
        <w:rPr>
          <w:b/>
          <w:sz w:val="24"/>
          <w:szCs w:val="22"/>
          <w:u w:val="single"/>
        </w:rPr>
      </w:pPr>
    </w:p>
    <w:p w14:paraId="305A4D6C" w14:textId="1DFF83C4" w:rsidR="0094608C" w:rsidRPr="00C9259C" w:rsidRDefault="00810F0B" w:rsidP="0053325B">
      <w:pPr>
        <w:spacing w:after="120"/>
      </w:pPr>
      <w:r w:rsidRPr="00C9259C">
        <w:rPr>
          <w:b/>
          <w:bCs/>
        </w:rPr>
        <w:t>Target Audience:</w:t>
      </w:r>
      <w:r w:rsidRPr="00C9259C">
        <w:t xml:space="preserve"> </w:t>
      </w:r>
    </w:p>
    <w:p w14:paraId="2D0D7E78" w14:textId="112964B3" w:rsidR="00327DE7" w:rsidRPr="00C9259C" w:rsidRDefault="00810F0B" w:rsidP="0053325B">
      <w:pPr>
        <w:spacing w:after="120"/>
      </w:pPr>
      <w:r w:rsidRPr="00C9259C">
        <w:rPr>
          <w:b/>
          <w:bCs/>
        </w:rPr>
        <w:t>Objectives</w:t>
      </w:r>
      <w:r w:rsidR="0094608C" w:rsidRPr="00C9259C">
        <w:rPr>
          <w:b/>
          <w:bCs/>
        </w:rPr>
        <w:t>:</w:t>
      </w:r>
      <w:r w:rsidR="00CD755E" w:rsidRPr="00C9259C">
        <w:t xml:space="preserve"> </w:t>
      </w:r>
      <w:r w:rsidRPr="00C9259C">
        <w:t xml:space="preserve">At the conclusion of this activity, </w:t>
      </w:r>
      <w:r w:rsidR="0053325B">
        <w:t>healthcare team members</w:t>
      </w:r>
      <w:r w:rsidRPr="00C9259C">
        <w:t xml:space="preserve"> should be able to:</w:t>
      </w:r>
    </w:p>
    <w:p w14:paraId="75BD89AF" w14:textId="1567E686" w:rsidR="00810F0B" w:rsidRDefault="0053325B" w:rsidP="00810F0B">
      <w:pPr>
        <w:pStyle w:val="ListParagraph"/>
        <w:numPr>
          <w:ilvl w:val="0"/>
          <w:numId w:val="12"/>
        </w:numPr>
        <w:rPr>
          <w:rFonts w:ascii="Trebuchet MS" w:hAnsi="Trebuchet MS"/>
          <w:sz w:val="20"/>
          <w:szCs w:val="20"/>
        </w:rPr>
      </w:pPr>
      <w:r>
        <w:rPr>
          <w:rFonts w:ascii="Trebuchet MS" w:hAnsi="Trebuchet MS"/>
          <w:sz w:val="20"/>
          <w:szCs w:val="20"/>
        </w:rPr>
        <w:t>Objective 1</w:t>
      </w:r>
    </w:p>
    <w:p w14:paraId="709A1360" w14:textId="035C0CA4" w:rsidR="0053325B" w:rsidRPr="00C9259C" w:rsidRDefault="0053325B" w:rsidP="00810F0B">
      <w:pPr>
        <w:pStyle w:val="ListParagraph"/>
        <w:numPr>
          <w:ilvl w:val="0"/>
          <w:numId w:val="12"/>
        </w:numPr>
        <w:rPr>
          <w:rFonts w:ascii="Trebuchet MS" w:hAnsi="Trebuchet MS"/>
          <w:sz w:val="20"/>
          <w:szCs w:val="20"/>
        </w:rPr>
      </w:pPr>
      <w:r>
        <w:rPr>
          <w:rFonts w:ascii="Trebuchet MS" w:hAnsi="Trebuchet MS"/>
          <w:sz w:val="20"/>
          <w:szCs w:val="20"/>
        </w:rPr>
        <w:t>Objective 2</w:t>
      </w:r>
    </w:p>
    <w:p w14:paraId="0357F5F0" w14:textId="77777777" w:rsidR="00810F0B" w:rsidRDefault="00810F0B" w:rsidP="00A106BA">
      <w:pPr>
        <w:spacing w:after="120"/>
        <w:rPr>
          <w:b/>
          <w:bCs/>
        </w:rPr>
      </w:pPr>
      <w:r w:rsidRPr="00AF4BBC">
        <w:rPr>
          <w:b/>
          <w:bCs/>
          <w:noProof/>
          <w14:ligatures w14:val="standardContextual"/>
        </w:rPr>
        <w:drawing>
          <wp:anchor distT="0" distB="0" distL="114300" distR="114300" simplePos="0" relativeHeight="251658240" behindDoc="0" locked="0" layoutInCell="1" allowOverlap="1" wp14:anchorId="4A33BEF8" wp14:editId="3E3212ED">
            <wp:simplePos x="0" y="0"/>
            <wp:positionH relativeFrom="column">
              <wp:posOffset>0</wp:posOffset>
            </wp:positionH>
            <wp:positionV relativeFrom="paragraph">
              <wp:posOffset>227330</wp:posOffset>
            </wp:positionV>
            <wp:extent cx="1193861" cy="844593"/>
            <wp:effectExtent l="0" t="0" r="6350" b="0"/>
            <wp:wrapSquare wrapText="bothSides"/>
            <wp:docPr id="57684479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844792" name="Picture 1" descr="A logo for a company&#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193861" cy="844593"/>
                    </a:xfrm>
                    <a:prstGeom prst="rect">
                      <a:avLst/>
                    </a:prstGeom>
                  </pic:spPr>
                </pic:pic>
              </a:graphicData>
            </a:graphic>
          </wp:anchor>
        </w:drawing>
      </w:r>
      <w:r w:rsidRPr="00AF4BBC">
        <w:rPr>
          <w:b/>
          <w:bCs/>
        </w:rPr>
        <w:t>Accreditation Statement</w:t>
      </w:r>
    </w:p>
    <w:p w14:paraId="0ABC50D0" w14:textId="7C08F300" w:rsidR="00810F0B" w:rsidRPr="0053325B" w:rsidRDefault="00810F0B" w:rsidP="0053325B">
      <w:pPr>
        <w:spacing w:after="360"/>
        <w:jc w:val="both"/>
      </w:pPr>
      <w:r w:rsidRPr="00AF4BBC">
        <w:t>In support of improving patient care, Thomas Jefferson University is jointly accredited by the Accreditation Council for Continuing Medical Education (ACCME), the Accreditation Council for Pharmacy Education (ACPE), and the American Nurses Credentialing Center (ANCC), to provide continuing education for the healthcare team.</w:t>
      </w:r>
    </w:p>
    <w:p w14:paraId="120B92E5" w14:textId="49061E11" w:rsidR="00810F0B" w:rsidRDefault="00810F0B" w:rsidP="00A106BA">
      <w:pPr>
        <w:spacing w:before="120" w:after="120"/>
        <w:rPr>
          <w:b/>
          <w:bCs/>
        </w:rPr>
      </w:pPr>
      <w:r w:rsidRPr="00AF4BBC">
        <w:rPr>
          <w:b/>
          <w:bCs/>
        </w:rPr>
        <w:t>Credit Designation</w:t>
      </w:r>
    </w:p>
    <w:p w14:paraId="415EB689" w14:textId="7E5F4E3E" w:rsidR="00C9666C" w:rsidRDefault="00810F0B" w:rsidP="0053325B">
      <w:pPr>
        <w:spacing w:after="120"/>
        <w:jc w:val="both"/>
      </w:pPr>
      <w:r w:rsidRPr="00AF4BBC">
        <w:t xml:space="preserve">Physicians: This educational activity is designated for a maximum of </w:t>
      </w:r>
      <w:r w:rsidR="004C38AD">
        <w:t>1.</w:t>
      </w:r>
      <w:r w:rsidRPr="00AF4BBC">
        <w:t xml:space="preserve">0 </w:t>
      </w:r>
      <w:r w:rsidRPr="00AF4BBC">
        <w:rPr>
          <w:i/>
          <w:iCs/>
        </w:rPr>
        <w:t>AMA PRA Category 1 Credit</w:t>
      </w:r>
      <w:r w:rsidR="007A766D">
        <w:rPr>
          <w:i/>
          <w:iCs/>
        </w:rPr>
        <w:t>(</w:t>
      </w:r>
      <w:r w:rsidR="00F64C43">
        <w:rPr>
          <w:i/>
          <w:iCs/>
        </w:rPr>
        <w:t>s</w:t>
      </w:r>
      <w:r w:rsidR="007A766D">
        <w:rPr>
          <w:i/>
          <w:iCs/>
        </w:rPr>
        <w:t>)</w:t>
      </w:r>
      <w:r w:rsidRPr="00AF4BBC">
        <w:rPr>
          <w:vertAlign w:val="superscript"/>
        </w:rPr>
        <w:t>TM</w:t>
      </w:r>
      <w:r w:rsidRPr="00AF4BBC">
        <w:t>. Physicians should only claim credit commensurate with the extent of their participation in the activity.</w:t>
      </w:r>
    </w:p>
    <w:p w14:paraId="59D54544" w14:textId="397606C2" w:rsidR="0053325B" w:rsidRDefault="00C9666C" w:rsidP="0053325B">
      <w:pPr>
        <w:spacing w:after="120"/>
        <w:jc w:val="both"/>
      </w:pPr>
      <w:r>
        <w:t>PA Patient Safety and Risk Credit: The education activity offers 1.0 PA Patient Safety and</w:t>
      </w:r>
      <w:r w:rsidR="0053325B">
        <w:br/>
      </w:r>
      <w:r w:rsidR="008E594E">
        <w:t>Risk Credit(s).</w:t>
      </w:r>
    </w:p>
    <w:p w14:paraId="2461A905" w14:textId="07DE9A60" w:rsidR="00810F0B" w:rsidRPr="00AF4BBC" w:rsidRDefault="0053325B" w:rsidP="0053325B">
      <w:pPr>
        <w:spacing w:after="120"/>
        <w:jc w:val="both"/>
      </w:pPr>
      <w:r w:rsidRPr="0053325B">
        <w:t xml:space="preserve">Nurses: This activity awards </w:t>
      </w:r>
      <w:r>
        <w:t>1.0</w:t>
      </w:r>
      <w:r w:rsidRPr="0053325B">
        <w:t xml:space="preserve"> nursing contact hours.</w:t>
      </w:r>
    </w:p>
    <w:p w14:paraId="6D0C6CA3" w14:textId="01D4FC71" w:rsidR="00304CA7" w:rsidRDefault="00810F0B" w:rsidP="0053325B">
      <w:pPr>
        <w:spacing w:after="120"/>
        <w:jc w:val="both"/>
      </w:pPr>
      <w:r w:rsidRPr="00AF4BBC">
        <w:rPr>
          <w:b/>
          <w:bCs/>
        </w:rPr>
        <w:t>Other Healthcare Professionals:</w:t>
      </w:r>
      <w:r w:rsidRPr="00AF4BBC">
        <w:t xml:space="preserve"> This educational activity is designated for </w:t>
      </w:r>
      <w:r w:rsidR="001B0C48">
        <w:t>1</w:t>
      </w:r>
      <w:r w:rsidRPr="00AF4BBC">
        <w:t xml:space="preserve">.0 </w:t>
      </w:r>
      <w:r w:rsidRPr="00AF4BBC">
        <w:rPr>
          <w:i/>
          <w:iCs/>
        </w:rPr>
        <w:t>AMA PRA Category 1</w:t>
      </w:r>
      <w:r w:rsidRPr="00AF4BBC">
        <w:rPr>
          <w:i/>
          <w:iCs/>
        </w:rPr>
        <w:br/>
        <w:t>Credit</w:t>
      </w:r>
      <w:r w:rsidR="008E594E">
        <w:rPr>
          <w:i/>
          <w:iCs/>
        </w:rPr>
        <w:t>(s)</w:t>
      </w:r>
      <w:r w:rsidRPr="00AF4BBC">
        <w:t xml:space="preserve"> </w:t>
      </w:r>
      <w:r w:rsidRPr="00AF4BBC">
        <w:rPr>
          <w:vertAlign w:val="superscript"/>
        </w:rPr>
        <w:t>TM</w:t>
      </w:r>
      <w:r w:rsidRPr="00AF4BBC">
        <w:t>. Participants should claim only the credit commensurate with the extent of their participation in the activity.</w:t>
      </w:r>
    </w:p>
    <w:p w14:paraId="65A4EC8A" w14:textId="4123DB8B" w:rsidR="00BC38A8" w:rsidRPr="00BC38A8" w:rsidRDefault="00BC38A8" w:rsidP="005821CD">
      <w:pPr>
        <w:spacing w:after="120"/>
        <w:jc w:val="both"/>
        <w:rPr>
          <w:b/>
          <w:bCs/>
        </w:rPr>
      </w:pPr>
      <w:r w:rsidRPr="00BC38A8">
        <w:rPr>
          <w:b/>
          <w:bCs/>
        </w:rPr>
        <w:t>Disclosure Statement</w:t>
      </w:r>
    </w:p>
    <w:p w14:paraId="30D52E4C" w14:textId="62E52AEE" w:rsidR="00D566A0" w:rsidRPr="00AF4BBC" w:rsidRDefault="00810F0B" w:rsidP="0053325B">
      <w:pPr>
        <w:spacing w:after="120"/>
        <w:jc w:val="both"/>
      </w:pPr>
      <w:r w:rsidRPr="00AF4BBC">
        <w:t xml:space="preserve">Thomas Jefferson University adheres to the </w:t>
      </w:r>
      <w:r w:rsidRPr="00AF4BBC">
        <w:rPr>
          <w:i/>
          <w:iCs/>
        </w:rPr>
        <w:t>Standards for Integrity and Independence in Accredited Continuing Education and the policies that supplement the Standards</w:t>
      </w:r>
      <w:r w:rsidRPr="00AF4BBC">
        <w:t>.</w:t>
      </w:r>
    </w:p>
    <w:p w14:paraId="68AAD391" w14:textId="0CACC8EE" w:rsidR="000E7EEC" w:rsidRPr="0053325B" w:rsidRDefault="00810F0B" w:rsidP="0053325B">
      <w:pPr>
        <w:spacing w:after="120"/>
        <w:jc w:val="both"/>
      </w:pPr>
      <w:r w:rsidRPr="00AF4BBC">
        <w:t xml:space="preserve">All </w:t>
      </w:r>
      <w:r w:rsidR="00E8716A">
        <w:t xml:space="preserve">faculty, </w:t>
      </w:r>
      <w:r w:rsidRPr="00AF4BBC">
        <w:t>planners,</w:t>
      </w:r>
      <w:r w:rsidR="00E8716A">
        <w:t xml:space="preserve"> </w:t>
      </w:r>
      <w:r w:rsidRPr="00AF4BBC">
        <w:t xml:space="preserve">and others in control of educational content are required to disclose any relevant financial relationships with </w:t>
      </w:r>
      <w:r w:rsidR="00B0784B">
        <w:t>ACCME-defined</w:t>
      </w:r>
      <w:r w:rsidRPr="00AF4BBC">
        <w:t xml:space="preserve"> ineligible companies within the past 24 months. Any conflicts of </w:t>
      </w:r>
      <w:r w:rsidR="00B0784B" w:rsidRPr="00AF4BBC">
        <w:t>interest</w:t>
      </w:r>
      <w:r w:rsidRPr="00AF4BBC">
        <w:t xml:space="preserve"> have been mitigated </w:t>
      </w:r>
      <w:r w:rsidR="00B0784B">
        <w:t>before</w:t>
      </w:r>
      <w:r w:rsidRPr="00AF4BBC">
        <w:t xml:space="preserve"> this educational activity. Such disclosures will be available prior</w:t>
      </w:r>
      <w:r w:rsidR="004771DD">
        <w:t xml:space="preserve"> </w:t>
      </w:r>
      <w:r w:rsidRPr="00AF4BBC">
        <w:t xml:space="preserve">to the start of the activity. </w:t>
      </w:r>
      <w:r w:rsidR="00B0784B">
        <w:t>Jefferson's</w:t>
      </w:r>
      <w:r w:rsidRPr="00AF4BBC">
        <w:t xml:space="preserve"> conflict of interest mitigation process may result in changes to the program agenda.</w:t>
      </w:r>
    </w:p>
    <w:p w14:paraId="58D6343C" w14:textId="77777777" w:rsidR="001C2AFE" w:rsidRPr="00AF4BBC" w:rsidRDefault="001C2AFE" w:rsidP="005821CD">
      <w:pPr>
        <w:spacing w:after="120"/>
        <w:rPr>
          <w:b/>
          <w:bCs/>
        </w:rPr>
      </w:pPr>
      <w:r w:rsidRPr="00AF4BBC">
        <w:rPr>
          <w:b/>
          <w:bCs/>
        </w:rPr>
        <w:t>Presenter Disclosure</w:t>
      </w:r>
    </w:p>
    <w:p w14:paraId="1F699D80" w14:textId="7EB04BDC" w:rsidR="00E8716A" w:rsidRPr="00A106BA" w:rsidRDefault="00E8716A" w:rsidP="00C9259C">
      <w:pPr>
        <w:rPr>
          <w:color w:val="C45911" w:themeColor="accent2" w:themeShade="BF"/>
        </w:rPr>
      </w:pPr>
      <w:r w:rsidRPr="00A106BA">
        <w:rPr>
          <w:color w:val="C45911" w:themeColor="accent2" w:themeShade="BF"/>
        </w:rPr>
        <w:t>Example</w:t>
      </w:r>
      <w:r w:rsidR="0053325B" w:rsidRPr="00A106BA">
        <w:rPr>
          <w:color w:val="C45911" w:themeColor="accent2" w:themeShade="BF"/>
        </w:rPr>
        <w:t xml:space="preserve">: </w:t>
      </w:r>
      <w:r w:rsidR="008B3E41">
        <w:rPr>
          <w:color w:val="C45911" w:themeColor="accent2" w:themeShade="BF"/>
        </w:rPr>
        <w:t>faculty with no</w:t>
      </w:r>
      <w:r w:rsidRPr="00A106BA">
        <w:rPr>
          <w:color w:val="C45911" w:themeColor="accent2" w:themeShade="BF"/>
        </w:rPr>
        <w:t xml:space="preserve"> </w:t>
      </w:r>
      <w:r w:rsidR="008B3E41">
        <w:rPr>
          <w:color w:val="C45911" w:themeColor="accent2" w:themeShade="BF"/>
        </w:rPr>
        <w:t>relationships</w:t>
      </w:r>
    </w:p>
    <w:p w14:paraId="709A0BAD" w14:textId="5BA4FC1F" w:rsidR="00C9259C" w:rsidRDefault="00DE70FC" w:rsidP="0053325B">
      <w:pPr>
        <w:spacing w:after="120"/>
        <w:jc w:val="both"/>
      </w:pPr>
      <w:r w:rsidRPr="00A106BA">
        <w:t>Daniel Green</w:t>
      </w:r>
      <w:r w:rsidR="0013361E" w:rsidRPr="00A106BA">
        <w:t>,</w:t>
      </w:r>
      <w:r w:rsidRPr="00A106BA">
        <w:t xml:space="preserve"> </w:t>
      </w:r>
      <w:r w:rsidR="003662B9" w:rsidRPr="00A106BA">
        <w:t>MD,</w:t>
      </w:r>
      <w:r w:rsidR="00C9259C" w:rsidRPr="00A106BA">
        <w:t xml:space="preserve"> </w:t>
      </w:r>
      <w:r w:rsidR="00C9259C">
        <w:t>has</w:t>
      </w:r>
      <w:r w:rsidR="00E8716A">
        <w:t xml:space="preserve"> </w:t>
      </w:r>
      <w:r w:rsidR="001C2AFE" w:rsidRPr="00AF4BBC">
        <w:t xml:space="preserve">no relevant financial relationship(s) with ineligible companies </w:t>
      </w:r>
      <w:r w:rsidR="00C9259C">
        <w:t>to disclose.</w:t>
      </w:r>
    </w:p>
    <w:p w14:paraId="134E0E0E" w14:textId="61A91A46" w:rsidR="00E8716A" w:rsidRPr="00A106BA" w:rsidRDefault="0053325B" w:rsidP="0053325B">
      <w:pPr>
        <w:jc w:val="both"/>
        <w:rPr>
          <w:color w:val="C45911" w:themeColor="accent2" w:themeShade="BF"/>
        </w:rPr>
      </w:pPr>
      <w:r w:rsidRPr="00A106BA">
        <w:rPr>
          <w:color w:val="C45911" w:themeColor="accent2" w:themeShade="BF"/>
        </w:rPr>
        <w:t>E</w:t>
      </w:r>
      <w:r w:rsidR="003662B9" w:rsidRPr="00A106BA">
        <w:rPr>
          <w:color w:val="C45911" w:themeColor="accent2" w:themeShade="BF"/>
        </w:rPr>
        <w:t>xample</w:t>
      </w:r>
      <w:r w:rsidR="00A106BA" w:rsidRPr="00A106BA">
        <w:rPr>
          <w:color w:val="C45911" w:themeColor="accent2" w:themeShade="BF"/>
        </w:rPr>
        <w:t>: faculty with relationships</w:t>
      </w:r>
      <w:r w:rsidR="00E8716A" w:rsidRPr="00A106BA">
        <w:rPr>
          <w:color w:val="C45911" w:themeColor="accent2" w:themeShade="BF"/>
        </w:rPr>
        <w:t xml:space="preserve">  </w:t>
      </w:r>
    </w:p>
    <w:p w14:paraId="52EA12E5" w14:textId="07E6C79E" w:rsidR="001C2AFE" w:rsidRPr="00AF4BBC" w:rsidRDefault="00DE70FC" w:rsidP="0053325B">
      <w:pPr>
        <w:spacing w:after="120"/>
        <w:jc w:val="both"/>
      </w:pPr>
      <w:r w:rsidRPr="00A106BA">
        <w:t>John Scott</w:t>
      </w:r>
      <w:r w:rsidR="00C9259C" w:rsidRPr="00A106BA">
        <w:t>, MD</w:t>
      </w:r>
      <w:r w:rsidR="00443FFE" w:rsidRPr="00A106BA">
        <w:t xml:space="preserve"> </w:t>
      </w:r>
      <w:r w:rsidR="0013361E">
        <w:t>Consulting Fee-</w:t>
      </w:r>
      <w:r w:rsidR="00443FFE">
        <w:t>Lilly (Any division), and Consulting Fee Novo Nordisk (Any division)</w:t>
      </w:r>
      <w:r w:rsidR="00E8716A" w:rsidRPr="00E8716A">
        <w:t>.</w:t>
      </w:r>
      <w:r w:rsidR="0053325B">
        <w:br/>
      </w:r>
      <w:r w:rsidR="00E8716A" w:rsidRPr="00E8716A">
        <w:t xml:space="preserve">All relevant financial relationships for the </w:t>
      </w:r>
      <w:r w:rsidR="0053325B">
        <w:t>presenter</w:t>
      </w:r>
      <w:r w:rsidR="00E8716A" w:rsidRPr="00E8716A">
        <w:t xml:space="preserve"> have been mitigated.</w:t>
      </w:r>
    </w:p>
    <w:p w14:paraId="7C14F91D" w14:textId="01CCCEBB" w:rsidR="00E97308" w:rsidRDefault="001C2AFE" w:rsidP="0053325B">
      <w:pPr>
        <w:spacing w:after="120"/>
        <w:ind w:right="-547"/>
        <w:jc w:val="both"/>
        <w:rPr>
          <w:b/>
          <w:color w:val="44546A" w:themeColor="text2"/>
          <w:szCs w:val="18"/>
        </w:rPr>
      </w:pPr>
      <w:r w:rsidRPr="00AF4BBC">
        <w:rPr>
          <w:b/>
          <w:bCs/>
        </w:rPr>
        <w:t>Commercial Support:</w:t>
      </w:r>
      <w:r w:rsidRPr="00AF4BBC">
        <w:t xml:space="preserve"> The educational activity received no commercial or in-kind support</w:t>
      </w:r>
      <w:bookmarkStart w:id="1" w:name="_Hlk158214798"/>
      <w:r w:rsidR="0053325B">
        <w:rPr>
          <w:b/>
          <w:color w:val="44546A" w:themeColor="text2"/>
          <w:szCs w:val="18"/>
        </w:rPr>
        <w:t>.</w:t>
      </w:r>
    </w:p>
    <w:p w14:paraId="3556076B" w14:textId="40676D69" w:rsidR="0053325B" w:rsidRDefault="0053325B" w:rsidP="0053325B">
      <w:pPr>
        <w:spacing w:after="120"/>
        <w:ind w:right="-547"/>
        <w:rPr>
          <w:b/>
          <w:color w:val="44546A" w:themeColor="text2"/>
          <w:szCs w:val="18"/>
        </w:rPr>
      </w:pPr>
      <w:r>
        <w:rPr>
          <w:b/>
          <w:color w:val="44546A" w:themeColor="text2"/>
          <w:szCs w:val="18"/>
        </w:rPr>
        <w:pict w14:anchorId="5ADD314E">
          <v:rect id="_x0000_i1025" style="width:0;height:1.5pt" o:hralign="center" o:hrstd="t" o:hr="t" fillcolor="#a0a0a0" stroked="f"/>
        </w:pict>
      </w:r>
    </w:p>
    <w:p w14:paraId="76BF3243" w14:textId="0810ECBC" w:rsidR="0053325B" w:rsidRPr="0053325B" w:rsidRDefault="0053325B" w:rsidP="00A106BA">
      <w:pPr>
        <w:jc w:val="center"/>
      </w:pPr>
      <w:r w:rsidRPr="0053325B">
        <w:t>Office of Continuing Professional Development</w:t>
      </w:r>
      <w:r>
        <w:t xml:space="preserve"> | </w:t>
      </w:r>
      <w:r w:rsidRPr="0053325B">
        <w:t>Email: jeffersoncpd@jefferson.edu</w:t>
      </w:r>
      <w:bookmarkEnd w:id="1"/>
    </w:p>
    <w:sectPr w:rsidR="0053325B" w:rsidRPr="0053325B" w:rsidSect="005821CD">
      <w:headerReference w:type="default" r:id="rId15"/>
      <w:type w:val="continuous"/>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FC03C" w14:textId="77777777" w:rsidR="0003786C" w:rsidRDefault="0003786C" w:rsidP="00835155">
      <w:r>
        <w:separator/>
      </w:r>
    </w:p>
  </w:endnote>
  <w:endnote w:type="continuationSeparator" w:id="0">
    <w:p w14:paraId="01D9F6CA" w14:textId="77777777" w:rsidR="0003786C" w:rsidRDefault="0003786C" w:rsidP="0083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Trebuchet MS Bold">
    <w:altName w:val="Trebuchet MS"/>
    <w:panose1 w:val="020B0703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6666228"/>
      <w:docPartObj>
        <w:docPartGallery w:val="Page Numbers (Bottom of Page)"/>
        <w:docPartUnique/>
      </w:docPartObj>
    </w:sdtPr>
    <w:sdtContent>
      <w:sdt>
        <w:sdtPr>
          <w:id w:val="1428919934"/>
          <w:docPartObj>
            <w:docPartGallery w:val="Page Numbers (Top of Page)"/>
            <w:docPartUnique/>
          </w:docPartObj>
        </w:sdtPr>
        <w:sdtContent>
          <w:p w14:paraId="57E0F6C4" w14:textId="2FD2598C" w:rsidR="00537346" w:rsidRDefault="0053734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3C6C41A" w14:textId="77777777" w:rsidR="00247E8C" w:rsidRDefault="00247E8C" w:rsidP="00247E8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F8A32" w14:textId="77777777" w:rsidR="0003786C" w:rsidRDefault="0003786C" w:rsidP="00835155">
      <w:r>
        <w:separator/>
      </w:r>
    </w:p>
  </w:footnote>
  <w:footnote w:type="continuationSeparator" w:id="0">
    <w:p w14:paraId="55690AB2" w14:textId="77777777" w:rsidR="0003786C" w:rsidRDefault="0003786C" w:rsidP="00835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889CF" w14:textId="77777777" w:rsidR="006748B0" w:rsidRDefault="006748B0">
    <w:pPr>
      <w:pStyle w:val="Header"/>
    </w:pPr>
    <w:r>
      <w:rPr>
        <w:noProof/>
      </w:rPr>
      <w:drawing>
        <wp:anchor distT="0" distB="0" distL="114300" distR="114300" simplePos="0" relativeHeight="251658240" behindDoc="1" locked="0" layoutInCell="1" allowOverlap="1" wp14:anchorId="2C56481B" wp14:editId="0518ED82">
          <wp:simplePos x="0" y="0"/>
          <wp:positionH relativeFrom="column">
            <wp:posOffset>-804545</wp:posOffset>
          </wp:positionH>
          <wp:positionV relativeFrom="paragraph">
            <wp:posOffset>-448811</wp:posOffset>
          </wp:positionV>
          <wp:extent cx="7772285" cy="100582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772285" cy="1005825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462A9" w14:textId="77777777" w:rsidR="00AE1FE7" w:rsidRDefault="000C6A1B">
    <w:pPr>
      <w:pStyle w:val="Header"/>
    </w:pPr>
    <w:r>
      <w:rPr>
        <w:noProof/>
      </w:rPr>
      <w:drawing>
        <wp:anchor distT="0" distB="0" distL="114300" distR="114300" simplePos="0" relativeHeight="251656192" behindDoc="1" locked="0" layoutInCell="1" allowOverlap="1" wp14:anchorId="285C4276" wp14:editId="7E7C54FE">
          <wp:simplePos x="0" y="0"/>
          <wp:positionH relativeFrom="column">
            <wp:posOffset>-795309</wp:posOffset>
          </wp:positionH>
          <wp:positionV relativeFrom="paragraph">
            <wp:posOffset>-640079</wp:posOffset>
          </wp:positionV>
          <wp:extent cx="7772284" cy="1005824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2284" cy="1005824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87C60" w14:textId="77777777" w:rsidR="00C454FF" w:rsidRDefault="008E65F3">
    <w:pPr>
      <w:pStyle w:val="Header"/>
    </w:pPr>
    <w:r>
      <w:rPr>
        <w:noProof/>
      </w:rPr>
      <w:drawing>
        <wp:anchor distT="0" distB="0" distL="114300" distR="114300" simplePos="0" relativeHeight="251660288" behindDoc="1" locked="0" layoutInCell="1" allowOverlap="1" wp14:anchorId="336CAEB0" wp14:editId="6B7672C5">
          <wp:simplePos x="0" y="0"/>
          <wp:positionH relativeFrom="column">
            <wp:posOffset>-1030605</wp:posOffset>
          </wp:positionH>
          <wp:positionV relativeFrom="paragraph">
            <wp:posOffset>-903679</wp:posOffset>
          </wp:positionV>
          <wp:extent cx="7772366" cy="10058400"/>
          <wp:effectExtent l="0" t="0" r="0" b="0"/>
          <wp:wrapNone/>
          <wp:docPr id="11" name="Picture 1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stretch>
                    <a:fillRect/>
                  </a:stretch>
                </pic:blipFill>
                <pic:spPr>
                  <a:xfrm>
                    <a:off x="0" y="0"/>
                    <a:ext cx="7772366"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5EEBA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50A7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8A7E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9441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214A2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16C98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642C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E4F5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7020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EEFD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C6A60"/>
    <w:multiLevelType w:val="multilevel"/>
    <w:tmpl w:val="6490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E640EC8"/>
    <w:multiLevelType w:val="hybridMultilevel"/>
    <w:tmpl w:val="7A466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C80AA6"/>
    <w:multiLevelType w:val="hybridMultilevel"/>
    <w:tmpl w:val="5A641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30494563">
    <w:abstractNumId w:val="0"/>
  </w:num>
  <w:num w:numId="2" w16cid:durableId="721903398">
    <w:abstractNumId w:val="1"/>
  </w:num>
  <w:num w:numId="3" w16cid:durableId="414474864">
    <w:abstractNumId w:val="2"/>
  </w:num>
  <w:num w:numId="4" w16cid:durableId="1672099575">
    <w:abstractNumId w:val="3"/>
  </w:num>
  <w:num w:numId="5" w16cid:durableId="555822049">
    <w:abstractNumId w:val="8"/>
  </w:num>
  <w:num w:numId="6" w16cid:durableId="1511022357">
    <w:abstractNumId w:val="4"/>
  </w:num>
  <w:num w:numId="7" w16cid:durableId="884869870">
    <w:abstractNumId w:val="5"/>
  </w:num>
  <w:num w:numId="8" w16cid:durableId="383531469">
    <w:abstractNumId w:val="6"/>
  </w:num>
  <w:num w:numId="9" w16cid:durableId="1040402035">
    <w:abstractNumId w:val="7"/>
  </w:num>
  <w:num w:numId="10" w16cid:durableId="161119564">
    <w:abstractNumId w:val="9"/>
  </w:num>
  <w:num w:numId="11" w16cid:durableId="20351082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9873209">
    <w:abstractNumId w:val="11"/>
  </w:num>
  <w:num w:numId="13" w16cid:durableId="1319454512">
    <w:abstractNumId w:val="12"/>
  </w:num>
  <w:num w:numId="14" w16cid:durableId="16230694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37"/>
    <w:rsid w:val="00004D5A"/>
    <w:rsid w:val="00005514"/>
    <w:rsid w:val="00016B86"/>
    <w:rsid w:val="0003786C"/>
    <w:rsid w:val="0004543E"/>
    <w:rsid w:val="00073201"/>
    <w:rsid w:val="000A5465"/>
    <w:rsid w:val="000B70E0"/>
    <w:rsid w:val="000C357A"/>
    <w:rsid w:val="000C6A1B"/>
    <w:rsid w:val="000D2443"/>
    <w:rsid w:val="000E6D77"/>
    <w:rsid w:val="000E7EEC"/>
    <w:rsid w:val="00100EBA"/>
    <w:rsid w:val="0011580E"/>
    <w:rsid w:val="001268D4"/>
    <w:rsid w:val="0013361E"/>
    <w:rsid w:val="00177EA8"/>
    <w:rsid w:val="001B0C48"/>
    <w:rsid w:val="001C2AFE"/>
    <w:rsid w:val="001E4621"/>
    <w:rsid w:val="001E52FD"/>
    <w:rsid w:val="002024AB"/>
    <w:rsid w:val="002262FD"/>
    <w:rsid w:val="0022754D"/>
    <w:rsid w:val="0023359C"/>
    <w:rsid w:val="00247E8C"/>
    <w:rsid w:val="00277E6C"/>
    <w:rsid w:val="00282FD4"/>
    <w:rsid w:val="002A1207"/>
    <w:rsid w:val="002C0BEF"/>
    <w:rsid w:val="002C4E57"/>
    <w:rsid w:val="00304CA7"/>
    <w:rsid w:val="00306916"/>
    <w:rsid w:val="003118F2"/>
    <w:rsid w:val="003249F2"/>
    <w:rsid w:val="00327DE7"/>
    <w:rsid w:val="00346715"/>
    <w:rsid w:val="003662B9"/>
    <w:rsid w:val="00372C67"/>
    <w:rsid w:val="003E5AEB"/>
    <w:rsid w:val="003F2AA7"/>
    <w:rsid w:val="00430B4F"/>
    <w:rsid w:val="00443FFE"/>
    <w:rsid w:val="004771DD"/>
    <w:rsid w:val="004B0F12"/>
    <w:rsid w:val="004C38AD"/>
    <w:rsid w:val="004D6A95"/>
    <w:rsid w:val="005037C2"/>
    <w:rsid w:val="00504BC0"/>
    <w:rsid w:val="00507A9D"/>
    <w:rsid w:val="00526EF9"/>
    <w:rsid w:val="0053325B"/>
    <w:rsid w:val="00537346"/>
    <w:rsid w:val="00545652"/>
    <w:rsid w:val="00545E2C"/>
    <w:rsid w:val="0054652E"/>
    <w:rsid w:val="005564A7"/>
    <w:rsid w:val="00573783"/>
    <w:rsid w:val="0058121A"/>
    <w:rsid w:val="005821CD"/>
    <w:rsid w:val="005A3268"/>
    <w:rsid w:val="005B622B"/>
    <w:rsid w:val="005D0A14"/>
    <w:rsid w:val="005F4577"/>
    <w:rsid w:val="005F5093"/>
    <w:rsid w:val="00611970"/>
    <w:rsid w:val="0062039D"/>
    <w:rsid w:val="006343FE"/>
    <w:rsid w:val="006748B0"/>
    <w:rsid w:val="006876A8"/>
    <w:rsid w:val="00696B7C"/>
    <w:rsid w:val="006B66F4"/>
    <w:rsid w:val="006B7B86"/>
    <w:rsid w:val="006D78A7"/>
    <w:rsid w:val="006E44FA"/>
    <w:rsid w:val="006E79F8"/>
    <w:rsid w:val="006F4823"/>
    <w:rsid w:val="007333EB"/>
    <w:rsid w:val="007444DD"/>
    <w:rsid w:val="00745844"/>
    <w:rsid w:val="007544ED"/>
    <w:rsid w:val="00781112"/>
    <w:rsid w:val="007A4B8A"/>
    <w:rsid w:val="007A766D"/>
    <w:rsid w:val="007C3E45"/>
    <w:rsid w:val="007F2F81"/>
    <w:rsid w:val="00807017"/>
    <w:rsid w:val="00810F0B"/>
    <w:rsid w:val="008168FA"/>
    <w:rsid w:val="00820814"/>
    <w:rsid w:val="00824252"/>
    <w:rsid w:val="00831CBA"/>
    <w:rsid w:val="00835155"/>
    <w:rsid w:val="008716FD"/>
    <w:rsid w:val="00893CA5"/>
    <w:rsid w:val="008B38A3"/>
    <w:rsid w:val="008B3E41"/>
    <w:rsid w:val="008B6AFF"/>
    <w:rsid w:val="008D6727"/>
    <w:rsid w:val="008E594E"/>
    <w:rsid w:val="008E65F3"/>
    <w:rsid w:val="008F68BD"/>
    <w:rsid w:val="00905942"/>
    <w:rsid w:val="00910309"/>
    <w:rsid w:val="00942D3F"/>
    <w:rsid w:val="00945096"/>
    <w:rsid w:val="0094608C"/>
    <w:rsid w:val="009767FF"/>
    <w:rsid w:val="0098528A"/>
    <w:rsid w:val="00985ABA"/>
    <w:rsid w:val="009A15A0"/>
    <w:rsid w:val="00A106BA"/>
    <w:rsid w:val="00A23203"/>
    <w:rsid w:val="00A40AB8"/>
    <w:rsid w:val="00A462AB"/>
    <w:rsid w:val="00A51656"/>
    <w:rsid w:val="00A961D6"/>
    <w:rsid w:val="00AC7BE6"/>
    <w:rsid w:val="00AD6155"/>
    <w:rsid w:val="00AE1FE7"/>
    <w:rsid w:val="00AF4BBC"/>
    <w:rsid w:val="00B0784B"/>
    <w:rsid w:val="00B30052"/>
    <w:rsid w:val="00B36DC7"/>
    <w:rsid w:val="00B85FAA"/>
    <w:rsid w:val="00BB139F"/>
    <w:rsid w:val="00BC38A8"/>
    <w:rsid w:val="00BC5278"/>
    <w:rsid w:val="00C113C9"/>
    <w:rsid w:val="00C2221D"/>
    <w:rsid w:val="00C279E5"/>
    <w:rsid w:val="00C454FF"/>
    <w:rsid w:val="00C56D42"/>
    <w:rsid w:val="00C74E5A"/>
    <w:rsid w:val="00C9259C"/>
    <w:rsid w:val="00C9666C"/>
    <w:rsid w:val="00CD755E"/>
    <w:rsid w:val="00CF01F3"/>
    <w:rsid w:val="00D046A0"/>
    <w:rsid w:val="00D30006"/>
    <w:rsid w:val="00D37561"/>
    <w:rsid w:val="00D530C3"/>
    <w:rsid w:val="00D566A0"/>
    <w:rsid w:val="00D8581F"/>
    <w:rsid w:val="00DB0F43"/>
    <w:rsid w:val="00DD6A84"/>
    <w:rsid w:val="00DE70FC"/>
    <w:rsid w:val="00E10437"/>
    <w:rsid w:val="00E14DA9"/>
    <w:rsid w:val="00E40D05"/>
    <w:rsid w:val="00E46B47"/>
    <w:rsid w:val="00E52EF0"/>
    <w:rsid w:val="00E8105C"/>
    <w:rsid w:val="00E8716A"/>
    <w:rsid w:val="00E97308"/>
    <w:rsid w:val="00EB3958"/>
    <w:rsid w:val="00EC062B"/>
    <w:rsid w:val="00ED4410"/>
    <w:rsid w:val="00F12151"/>
    <w:rsid w:val="00F44C1C"/>
    <w:rsid w:val="00F60FC1"/>
    <w:rsid w:val="00F61968"/>
    <w:rsid w:val="00F64C43"/>
    <w:rsid w:val="00F84B34"/>
    <w:rsid w:val="00F95AE9"/>
    <w:rsid w:val="00FA7104"/>
    <w:rsid w:val="00FD68C5"/>
    <w:rsid w:val="00FD7DE4"/>
    <w:rsid w:val="00FE09C9"/>
    <w:rsid w:val="00FE0F07"/>
    <w:rsid w:val="00FF7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7D53FF"/>
  <w14:defaultImageDpi w14:val="300"/>
  <w15:docId w15:val="{8F05EF00-B6E9-0048-8569-A1A88000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25B"/>
    <w:rPr>
      <w:rFonts w:ascii="Trebuchet MS" w:hAnsi="Trebuchet MS"/>
      <w:sz w:val="20"/>
      <w:szCs w:val="20"/>
    </w:rPr>
  </w:style>
  <w:style w:type="paragraph" w:styleId="Heading1">
    <w:name w:val="heading 1"/>
    <w:basedOn w:val="Normal"/>
    <w:next w:val="Normal"/>
    <w:link w:val="Heading1Char"/>
    <w:autoRedefine/>
    <w:uiPriority w:val="9"/>
    <w:qFormat/>
    <w:rsid w:val="00D8581F"/>
    <w:pPr>
      <w:keepNext/>
      <w:keepLines/>
      <w:spacing w:before="480"/>
      <w:outlineLvl w:val="0"/>
    </w:pPr>
    <w:rPr>
      <w:rFonts w:ascii="Trebuchet MS Bold" w:eastAsiaTheme="majorEastAsia" w:hAnsi="Trebuchet MS Bold" w:cstheme="majorBidi"/>
      <w:bCs/>
      <w:color w:val="2D4F8E" w:themeColor="accent1" w:themeShade="B5"/>
      <w:sz w:val="32"/>
      <w:szCs w:val="32"/>
    </w:rPr>
  </w:style>
  <w:style w:type="paragraph" w:styleId="Heading2">
    <w:name w:val="heading 2"/>
    <w:basedOn w:val="Heading1"/>
    <w:next w:val="Normal"/>
    <w:link w:val="Heading2Char"/>
    <w:uiPriority w:val="9"/>
    <w:semiHidden/>
    <w:unhideWhenUsed/>
    <w:qFormat/>
    <w:rsid w:val="00D8581F"/>
    <w:pPr>
      <w:spacing w:before="200"/>
      <w:outlineLvl w:val="1"/>
    </w:pPr>
    <w:rPr>
      <w:rFonts w:asciiTheme="majorHAnsi" w:hAnsiTheme="majorHAnsi"/>
      <w:b/>
      <w:bCs w:val="0"/>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81F"/>
    <w:rPr>
      <w:rFonts w:ascii="Trebuchet MS Bold" w:eastAsiaTheme="majorEastAsia" w:hAnsi="Trebuchet MS Bold" w:cstheme="majorBidi"/>
      <w:bCs/>
      <w:color w:val="2D4F8E" w:themeColor="accent1" w:themeShade="B5"/>
      <w:sz w:val="32"/>
      <w:szCs w:val="32"/>
    </w:rPr>
  </w:style>
  <w:style w:type="character" w:customStyle="1" w:styleId="Heading2Char">
    <w:name w:val="Heading 2 Char"/>
    <w:basedOn w:val="DefaultParagraphFont"/>
    <w:link w:val="Heading2"/>
    <w:uiPriority w:val="9"/>
    <w:semiHidden/>
    <w:rsid w:val="00D8581F"/>
    <w:rPr>
      <w:rFonts w:asciiTheme="majorHAnsi" w:eastAsiaTheme="majorEastAsia" w:hAnsiTheme="majorHAnsi" w:cstheme="majorBidi"/>
      <w:b/>
      <w:color w:val="4472C4" w:themeColor="accent1"/>
      <w:sz w:val="26"/>
      <w:szCs w:val="26"/>
    </w:rPr>
  </w:style>
  <w:style w:type="paragraph" w:styleId="Header">
    <w:name w:val="header"/>
    <w:basedOn w:val="Normal"/>
    <w:link w:val="HeaderChar"/>
    <w:uiPriority w:val="99"/>
    <w:unhideWhenUsed/>
    <w:rsid w:val="00835155"/>
    <w:pPr>
      <w:tabs>
        <w:tab w:val="center" w:pos="4320"/>
        <w:tab w:val="right" w:pos="8640"/>
      </w:tabs>
    </w:pPr>
  </w:style>
  <w:style w:type="character" w:customStyle="1" w:styleId="HeaderChar">
    <w:name w:val="Header Char"/>
    <w:basedOn w:val="DefaultParagraphFont"/>
    <w:link w:val="Header"/>
    <w:uiPriority w:val="99"/>
    <w:rsid w:val="00835155"/>
    <w:rPr>
      <w:rFonts w:ascii="Georgia" w:hAnsi="Georgia"/>
      <w:sz w:val="20"/>
      <w:szCs w:val="20"/>
    </w:rPr>
  </w:style>
  <w:style w:type="paragraph" w:styleId="Footer">
    <w:name w:val="footer"/>
    <w:basedOn w:val="Normal"/>
    <w:link w:val="FooterChar"/>
    <w:uiPriority w:val="99"/>
    <w:unhideWhenUsed/>
    <w:rsid w:val="00835155"/>
    <w:pPr>
      <w:tabs>
        <w:tab w:val="center" w:pos="4320"/>
        <w:tab w:val="right" w:pos="8640"/>
      </w:tabs>
    </w:pPr>
  </w:style>
  <w:style w:type="character" w:customStyle="1" w:styleId="FooterChar">
    <w:name w:val="Footer Char"/>
    <w:basedOn w:val="DefaultParagraphFont"/>
    <w:link w:val="Footer"/>
    <w:uiPriority w:val="99"/>
    <w:rsid w:val="00835155"/>
    <w:rPr>
      <w:rFonts w:ascii="Georgia" w:hAnsi="Georgia"/>
      <w:sz w:val="20"/>
      <w:szCs w:val="20"/>
    </w:rPr>
  </w:style>
  <w:style w:type="paragraph" w:styleId="BalloonText">
    <w:name w:val="Balloon Text"/>
    <w:basedOn w:val="Normal"/>
    <w:link w:val="BalloonTextChar"/>
    <w:uiPriority w:val="99"/>
    <w:semiHidden/>
    <w:unhideWhenUsed/>
    <w:rsid w:val="008351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5155"/>
    <w:rPr>
      <w:rFonts w:ascii="Lucida Grande" w:hAnsi="Lucida Grande" w:cs="Lucida Grande"/>
      <w:sz w:val="18"/>
      <w:szCs w:val="18"/>
    </w:rPr>
  </w:style>
  <w:style w:type="character" w:styleId="Hyperlink">
    <w:name w:val="Hyperlink"/>
    <w:basedOn w:val="DefaultParagraphFont"/>
    <w:uiPriority w:val="99"/>
    <w:unhideWhenUsed/>
    <w:rsid w:val="007F2F81"/>
    <w:rPr>
      <w:color w:val="0563C1" w:themeColor="hyperlink"/>
      <w:u w:val="single"/>
    </w:rPr>
  </w:style>
  <w:style w:type="paragraph" w:customStyle="1" w:styleId="TitleofEvent">
    <w:name w:val="Title of Event"/>
    <w:basedOn w:val="Normal"/>
    <w:qFormat/>
    <w:rsid w:val="002262FD"/>
    <w:rPr>
      <w:b/>
      <w:color w:val="5BB8DD"/>
      <w:sz w:val="88"/>
      <w:szCs w:val="88"/>
    </w:rPr>
  </w:style>
  <w:style w:type="paragraph" w:customStyle="1" w:styleId="DeptProgramDateTimeLocation">
    <w:name w:val="Dept/Program/Date/Time/Location"/>
    <w:basedOn w:val="Normal"/>
    <w:qFormat/>
    <w:rsid w:val="002262FD"/>
    <w:rPr>
      <w:b/>
      <w:bCs/>
      <w:color w:val="000000" w:themeColor="text1"/>
      <w:sz w:val="32"/>
      <w:szCs w:val="32"/>
    </w:rPr>
  </w:style>
  <w:style w:type="paragraph" w:customStyle="1" w:styleId="BodyCopy">
    <w:name w:val="Body Copy"/>
    <w:basedOn w:val="Normal"/>
    <w:qFormat/>
    <w:rsid w:val="002262FD"/>
    <w:rPr>
      <w:sz w:val="32"/>
      <w:szCs w:val="32"/>
    </w:rPr>
  </w:style>
  <w:style w:type="paragraph" w:customStyle="1" w:styleId="PhoneNumber">
    <w:name w:val="Phone Number"/>
    <w:basedOn w:val="Normal"/>
    <w:qFormat/>
    <w:rsid w:val="002262FD"/>
    <w:rPr>
      <w:b/>
      <w:bCs/>
      <w:color w:val="5BB8DD"/>
      <w:sz w:val="32"/>
      <w:szCs w:val="32"/>
    </w:rPr>
  </w:style>
  <w:style w:type="character" w:styleId="UnresolvedMention">
    <w:name w:val="Unresolved Mention"/>
    <w:basedOn w:val="DefaultParagraphFont"/>
    <w:uiPriority w:val="99"/>
    <w:semiHidden/>
    <w:unhideWhenUsed/>
    <w:rsid w:val="00526EF9"/>
    <w:rPr>
      <w:color w:val="605E5C"/>
      <w:shd w:val="clear" w:color="auto" w:fill="E1DFDD"/>
    </w:rPr>
  </w:style>
  <w:style w:type="paragraph" w:styleId="ListParagraph">
    <w:name w:val="List Paragraph"/>
    <w:basedOn w:val="Normal"/>
    <w:uiPriority w:val="34"/>
    <w:qFormat/>
    <w:rsid w:val="00810F0B"/>
    <w:pPr>
      <w:spacing w:after="120" w:line="276" w:lineRule="auto"/>
      <w:ind w:left="720"/>
      <w:contextualSpacing/>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2361">
      <w:bodyDiv w:val="1"/>
      <w:marLeft w:val="0"/>
      <w:marRight w:val="0"/>
      <w:marTop w:val="0"/>
      <w:marBottom w:val="0"/>
      <w:divBdr>
        <w:top w:val="none" w:sz="0" w:space="0" w:color="auto"/>
        <w:left w:val="none" w:sz="0" w:space="0" w:color="auto"/>
        <w:bottom w:val="none" w:sz="0" w:space="0" w:color="auto"/>
        <w:right w:val="none" w:sz="0" w:space="0" w:color="auto"/>
      </w:divBdr>
    </w:div>
    <w:div w:id="467473281">
      <w:bodyDiv w:val="1"/>
      <w:marLeft w:val="0"/>
      <w:marRight w:val="0"/>
      <w:marTop w:val="0"/>
      <w:marBottom w:val="0"/>
      <w:divBdr>
        <w:top w:val="none" w:sz="0" w:space="0" w:color="auto"/>
        <w:left w:val="none" w:sz="0" w:space="0" w:color="auto"/>
        <w:bottom w:val="none" w:sz="0" w:space="0" w:color="auto"/>
        <w:right w:val="none" w:sz="0" w:space="0" w:color="auto"/>
      </w:divBdr>
    </w:div>
    <w:div w:id="928733327">
      <w:bodyDiv w:val="1"/>
      <w:marLeft w:val="0"/>
      <w:marRight w:val="0"/>
      <w:marTop w:val="0"/>
      <w:marBottom w:val="0"/>
      <w:divBdr>
        <w:top w:val="none" w:sz="0" w:space="0" w:color="auto"/>
        <w:left w:val="none" w:sz="0" w:space="0" w:color="auto"/>
        <w:bottom w:val="none" w:sz="0" w:space="0" w:color="auto"/>
        <w:right w:val="none" w:sz="0" w:space="0" w:color="auto"/>
      </w:divBdr>
    </w:div>
    <w:div w:id="1920753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A248A6F6108642A8F98A1DF145993B" ma:contentTypeVersion="16" ma:contentTypeDescription="Create a new document." ma:contentTypeScope="" ma:versionID="f370098a6d511d0399b677b56182a395">
  <xsd:schema xmlns:xsd="http://www.w3.org/2001/XMLSchema" xmlns:xs="http://www.w3.org/2001/XMLSchema" xmlns:p="http://schemas.microsoft.com/office/2006/metadata/properties" xmlns:ns3="435d3bac-3dc4-47e1-8771-007df8576090" xmlns:ns4="265e6bd6-49bf-4a96-a0c7-3cdaf872a1cb" targetNamespace="http://schemas.microsoft.com/office/2006/metadata/properties" ma:root="true" ma:fieldsID="1b7b52a7dfd8e4a7ced2f05db99682fe" ns3:_="" ns4:_="">
    <xsd:import namespace="435d3bac-3dc4-47e1-8771-007df8576090"/>
    <xsd:import namespace="265e6bd6-49bf-4a96-a0c7-3cdaf872a1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ObjectDetectorVersions" minOccurs="0"/>
                <xsd:element ref="ns4:MediaServiceAutoTags" minOccurs="0"/>
                <xsd:element ref="ns4:MediaServiceGenerationTime" minOccurs="0"/>
                <xsd:element ref="ns4:MediaServiceEventHashCode" minOccurs="0"/>
                <xsd:element ref="ns4:MediaServiceOCR"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d3bac-3dc4-47e1-8771-007df8576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5e6bd6-49bf-4a96-a0c7-3cdaf872a1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5F2F5-C953-418C-A6D4-0415FFC32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d3bac-3dc4-47e1-8771-007df8576090"/>
    <ds:schemaRef ds:uri="265e6bd6-49bf-4a96-a0c7-3cdaf872a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280C1-CA0E-4B5C-82A9-7CF7AF42722D}">
  <ds:schemaRefs>
    <ds:schemaRef ds:uri="http://schemas.microsoft.com/sharepoint/v3/contenttype/forms"/>
  </ds:schemaRefs>
</ds:datastoreItem>
</file>

<file path=customXml/itemProps3.xml><?xml version="1.0" encoding="utf-8"?>
<ds:datastoreItem xmlns:ds="http://schemas.openxmlformats.org/officeDocument/2006/customXml" ds:itemID="{99EBDDEF-0192-40CA-ADC6-B766121E23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319DF3-05BD-4A0D-8C40-8F13645F2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TJUH</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Brand Management</dc:creator>
  <cp:keywords/>
  <dc:description/>
  <cp:lastModifiedBy>Sarah Carmody</cp:lastModifiedBy>
  <cp:revision>8</cp:revision>
  <cp:lastPrinted>2015-11-10T13:33:00Z</cp:lastPrinted>
  <dcterms:created xsi:type="dcterms:W3CDTF">2025-02-17T20:32:00Z</dcterms:created>
  <dcterms:modified xsi:type="dcterms:W3CDTF">2025-02-17T20:47:00Z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0x0101008AA248A6F6108642A8F98A1DF145993B</vt:lpwstr>
  </property>
  <property fmtid="{D5CDD505-2E9C-101B-9397-08002B2CF9AE}" pid="3" name="GrammarlyDocumentId">
    <vt:lpwstr>837a8090b96def570996b775f229ca2a1a0961f5fce3ede96984c2e35f1170f4</vt:lpwstr>
  </property>
</Properties>
</file>